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9C" w:rsidRPr="00622B90" w:rsidRDefault="005D1B15" w:rsidP="00A5249C">
      <w:pPr>
        <w:pStyle w:val="Titel"/>
        <w:rPr>
          <w:rFonts w:ascii="Verdana" w:hAnsi="Verdana"/>
          <w:b/>
        </w:rPr>
      </w:pPr>
      <w:sdt>
        <w:sdtPr>
          <w:rPr>
            <w:rFonts w:ascii="Verdana" w:hAnsi="Verdana"/>
            <w:b/>
            <w:sz w:val="32"/>
            <w:szCs w:val="32"/>
          </w:rPr>
          <w:alias w:val="Bedrijfsnaam"/>
          <w:tag w:val=""/>
          <w:id w:val="1501239775"/>
          <w:placeholder>
            <w:docPart w:val="E30C5B24108E4C0C9E99A51485B71BA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2EC5">
            <w:rPr>
              <w:rFonts w:ascii="Verdana" w:hAnsi="Verdana"/>
              <w:b/>
              <w:sz w:val="32"/>
              <w:szCs w:val="32"/>
            </w:rPr>
            <w:t xml:space="preserve">Ttt </w:t>
          </w:r>
          <w:r w:rsidR="00A5249C">
            <w:rPr>
              <w:rFonts w:ascii="Verdana" w:hAnsi="Verdana"/>
              <w:b/>
              <w:sz w:val="32"/>
              <w:szCs w:val="32"/>
            </w:rPr>
            <w:t>WORKSHOP ‘</w:t>
          </w:r>
          <w:r w:rsidR="00D22EC5">
            <w:rPr>
              <w:rFonts w:ascii="Verdana" w:hAnsi="Verdana"/>
              <w:b/>
              <w:sz w:val="32"/>
              <w:szCs w:val="32"/>
            </w:rPr>
            <w:t>toetsen en beoordelen</w:t>
          </w:r>
          <w:r w:rsidR="00A5249C">
            <w:rPr>
              <w:rFonts w:ascii="Verdana" w:hAnsi="Verdana"/>
              <w:b/>
              <w:sz w:val="32"/>
              <w:szCs w:val="32"/>
            </w:rPr>
            <w:t>’</w:t>
          </w:r>
        </w:sdtContent>
      </w:sdt>
      <w:r w:rsidR="00A5249C" w:rsidRPr="00622B90">
        <w:rPr>
          <w:rFonts w:ascii="Verdana" w:hAnsi="Verdana"/>
        </w:rPr>
        <w:br/>
      </w:r>
      <w:r w:rsidR="00A5249C">
        <w:rPr>
          <w:rFonts w:ascii="Verdana" w:hAnsi="Verdana"/>
          <w:b/>
          <w:sz w:val="24"/>
          <w:szCs w:val="24"/>
          <w:lang w:val="nl-NL"/>
        </w:rPr>
        <w:t>Training voor (plv.) opleiders, leden opleidingsgroep</w:t>
      </w:r>
    </w:p>
    <w:p w:rsidR="00A5249C" w:rsidRPr="00695BD0" w:rsidRDefault="00A5249C" w:rsidP="00A5249C">
      <w:pPr>
        <w:pStyle w:val="Ondertitel"/>
        <w:rPr>
          <w:rFonts w:ascii="Verdana" w:hAnsi="Verdana"/>
          <w:b w:val="0"/>
          <w:sz w:val="20"/>
        </w:rPr>
      </w:pPr>
      <w:r w:rsidRPr="00622B90">
        <w:rPr>
          <w:rFonts w:ascii="Verdana" w:hAnsi="Verdana"/>
          <w:b w:val="0"/>
          <w:sz w:val="20"/>
          <w:lang w:val="nl-NL"/>
        </w:rPr>
        <w:t xml:space="preserve">Lisette van Elswijk </w:t>
      </w:r>
      <w:r w:rsidRPr="00622B90">
        <w:rPr>
          <w:rFonts w:ascii="Verdana" w:hAnsi="Verdana" w:cstheme="minorHAnsi"/>
          <w:b w:val="0"/>
          <w:sz w:val="20"/>
          <w:lang w:val="nl-NL"/>
        </w:rPr>
        <w:t>|</w:t>
      </w:r>
      <w:r w:rsidRPr="00622B90">
        <w:rPr>
          <w:rFonts w:ascii="Verdana" w:hAnsi="Verdana"/>
          <w:b w:val="0"/>
          <w:sz w:val="20"/>
          <w:lang w:val="nl-NL"/>
        </w:rPr>
        <w:t xml:space="preserve"> Psycholoog, coach en trainer  </w:t>
      </w:r>
      <w:r w:rsidRPr="00622B90">
        <w:rPr>
          <w:rFonts w:ascii="Verdana" w:hAnsi="Verdana" w:cstheme="minorHAnsi"/>
          <w:b w:val="0"/>
          <w:sz w:val="20"/>
          <w:lang w:val="nl-NL"/>
        </w:rPr>
        <w:t>|</w:t>
      </w:r>
      <w:r>
        <w:rPr>
          <w:rFonts w:ascii="Verdana" w:hAnsi="Verdana"/>
          <w:b w:val="0"/>
          <w:sz w:val="20"/>
          <w:lang w:val="nl-NL"/>
        </w:rPr>
        <w:t xml:space="preserve"> lisettevanelswijk@gmail.com</w:t>
      </w:r>
    </w:p>
    <w:p w:rsidR="00A5249C" w:rsidRPr="00D22EC5" w:rsidRDefault="00D22EC5" w:rsidP="00A5249C">
      <w:pPr>
        <w:pStyle w:val="kop1"/>
        <w:rPr>
          <w:rFonts w:ascii="Verdana" w:hAnsi="Verdana"/>
          <w:sz w:val="18"/>
          <w:szCs w:val="18"/>
        </w:rPr>
      </w:pPr>
      <w:r w:rsidRPr="00D22EC5">
        <w:rPr>
          <w:rFonts w:ascii="Verdana" w:hAnsi="Verdana"/>
          <w:sz w:val="18"/>
          <w:szCs w:val="18"/>
          <w:lang w:val="nl-NL"/>
        </w:rPr>
        <w:t>Programma</w:t>
      </w:r>
    </w:p>
    <w:p w:rsidR="00A5249C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eastAsia="Times New Roman" w:hAnsi="Verdana" w:cs="Times New Roman"/>
          <w:szCs w:val="18"/>
          <w:lang w:eastAsia="nl-NL"/>
        </w:rPr>
      </w:pPr>
      <w:r w:rsidRPr="00025B73">
        <w:rPr>
          <w:rFonts w:ascii="Verdana" w:eastAsia="Times New Roman" w:hAnsi="Verdana" w:cs="Times New Roman"/>
          <w:szCs w:val="18"/>
          <w:lang w:eastAsia="nl-NL"/>
        </w:rPr>
        <w:t>In de workshop Teach the Teacher ‘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toetsen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beoordelen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’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heeft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u in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korte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tijd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meer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grip op de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elementen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die van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invloed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zijn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op het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effectief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begeleiden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van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aios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. U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verkrijgt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meer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inzicht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in de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samenhang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tussen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KPB,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voortgangsgesprek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het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beoordelen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van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aios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.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Er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wordt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veel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geoefend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met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filmmateriaal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> 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met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casuïstiek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in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kleinere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groepen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. Na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deze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workshop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kunt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u  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binnen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uw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opleidingsgroep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concrete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aanzet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geven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aan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het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uniformiseren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van het 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toetsen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 xml:space="preserve"> </w:t>
      </w:r>
      <w:proofErr w:type="spellStart"/>
      <w:r w:rsidRPr="00025B73">
        <w:rPr>
          <w:rFonts w:ascii="Verdana" w:eastAsia="Times New Roman" w:hAnsi="Verdana" w:cs="Times New Roman"/>
          <w:szCs w:val="18"/>
          <w:lang w:eastAsia="nl-NL"/>
        </w:rPr>
        <w:t>beoordelen</w:t>
      </w:r>
      <w:proofErr w:type="spellEnd"/>
      <w:r w:rsidRPr="00025B73">
        <w:rPr>
          <w:rFonts w:ascii="Verdana" w:eastAsia="Times New Roman" w:hAnsi="Verdana" w:cs="Times New Roman"/>
          <w:szCs w:val="18"/>
          <w:lang w:eastAsia="nl-NL"/>
        </w:rPr>
        <w:t>.</w:t>
      </w:r>
    </w:p>
    <w:p w:rsid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</w:p>
    <w:p w:rsid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  <w:proofErr w:type="spellStart"/>
      <w:r w:rsidRPr="00D22EC5">
        <w:rPr>
          <w:rFonts w:ascii="Verdana" w:hAnsi="Verdana"/>
          <w:szCs w:val="18"/>
        </w:rPr>
        <w:t>Leerdoelen</w:t>
      </w:r>
      <w:proofErr w:type="spellEnd"/>
      <w:r w:rsidRPr="00D22EC5">
        <w:rPr>
          <w:rFonts w:ascii="Verdana" w:hAnsi="Verdana"/>
          <w:szCs w:val="18"/>
        </w:rPr>
        <w:t xml:space="preserve">:  </w:t>
      </w:r>
    </w:p>
    <w:p w:rsid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  <w:r w:rsidRPr="00D22EC5">
        <w:rPr>
          <w:rFonts w:ascii="Verdana" w:hAnsi="Verdana"/>
          <w:szCs w:val="18"/>
        </w:rPr>
        <w:t xml:space="preserve">- </w:t>
      </w:r>
      <w:proofErr w:type="spellStart"/>
      <w:r w:rsidRPr="00D22EC5">
        <w:rPr>
          <w:rFonts w:ascii="Verdana" w:hAnsi="Verdana"/>
          <w:szCs w:val="18"/>
        </w:rPr>
        <w:t>Bewust</w:t>
      </w:r>
      <w:proofErr w:type="spellEnd"/>
      <w:r w:rsidRPr="00D22EC5">
        <w:rPr>
          <w:rFonts w:ascii="Verdana" w:hAnsi="Verdana"/>
          <w:szCs w:val="18"/>
        </w:rPr>
        <w:t xml:space="preserve"> </w:t>
      </w:r>
      <w:proofErr w:type="spellStart"/>
      <w:r w:rsidRPr="00D22EC5">
        <w:rPr>
          <w:rFonts w:ascii="Verdana" w:hAnsi="Verdana"/>
          <w:szCs w:val="18"/>
        </w:rPr>
        <w:t>worden</w:t>
      </w:r>
      <w:proofErr w:type="spellEnd"/>
      <w:r w:rsidRPr="00D22EC5">
        <w:rPr>
          <w:rFonts w:ascii="Verdana" w:hAnsi="Verdana"/>
          <w:szCs w:val="18"/>
        </w:rPr>
        <w:t xml:space="preserve"> van het </w:t>
      </w:r>
      <w:proofErr w:type="spellStart"/>
      <w:r w:rsidRPr="00D22EC5">
        <w:rPr>
          <w:rFonts w:ascii="Verdana" w:hAnsi="Verdana"/>
          <w:szCs w:val="18"/>
        </w:rPr>
        <w:t>belang</w:t>
      </w:r>
      <w:proofErr w:type="spellEnd"/>
      <w:r w:rsidRPr="00D22EC5">
        <w:rPr>
          <w:rFonts w:ascii="Verdana" w:hAnsi="Verdana"/>
          <w:szCs w:val="18"/>
        </w:rPr>
        <w:t xml:space="preserve"> van adequate </w:t>
      </w:r>
      <w:proofErr w:type="spellStart"/>
      <w:r w:rsidRPr="00D22EC5">
        <w:rPr>
          <w:rFonts w:ascii="Verdana" w:hAnsi="Verdana"/>
          <w:szCs w:val="18"/>
        </w:rPr>
        <w:t>onderbouwing</w:t>
      </w:r>
      <w:proofErr w:type="spellEnd"/>
      <w:r w:rsidRPr="00D22EC5">
        <w:rPr>
          <w:rFonts w:ascii="Verdana" w:hAnsi="Verdana"/>
          <w:szCs w:val="18"/>
        </w:rPr>
        <w:t xml:space="preserve"> van </w:t>
      </w:r>
      <w:proofErr w:type="spellStart"/>
      <w:r w:rsidRPr="00D22EC5">
        <w:rPr>
          <w:rFonts w:ascii="Verdana" w:hAnsi="Verdana"/>
          <w:szCs w:val="18"/>
        </w:rPr>
        <w:t>beoordeling</w:t>
      </w:r>
      <w:proofErr w:type="spellEnd"/>
      <w:r w:rsidRPr="00D22EC5">
        <w:rPr>
          <w:rFonts w:ascii="Verdana" w:hAnsi="Verdana"/>
          <w:szCs w:val="18"/>
        </w:rPr>
        <w:t xml:space="preserve"> van AIOS </w:t>
      </w:r>
      <w:proofErr w:type="spellStart"/>
      <w:r w:rsidRPr="00D22EC5">
        <w:rPr>
          <w:rFonts w:ascii="Verdana" w:hAnsi="Verdana"/>
          <w:szCs w:val="18"/>
        </w:rPr>
        <w:t>ter</w:t>
      </w:r>
      <w:proofErr w:type="spellEnd"/>
      <w:r w:rsidRPr="00D22EC5">
        <w:rPr>
          <w:rFonts w:ascii="Verdana" w:hAnsi="Verdana"/>
          <w:szCs w:val="18"/>
        </w:rPr>
        <w:t xml:space="preserve"> </w:t>
      </w:r>
      <w:proofErr w:type="spellStart"/>
      <w:r w:rsidRPr="00D22EC5">
        <w:rPr>
          <w:rFonts w:ascii="Verdana" w:hAnsi="Verdana"/>
          <w:szCs w:val="18"/>
        </w:rPr>
        <w:t>ondersteuning</w:t>
      </w:r>
      <w:proofErr w:type="spellEnd"/>
      <w:r w:rsidRPr="00D22EC5">
        <w:rPr>
          <w:rFonts w:ascii="Verdana" w:hAnsi="Verdana"/>
          <w:szCs w:val="18"/>
        </w:rPr>
        <w:t xml:space="preserve"> van de </w:t>
      </w:r>
      <w:proofErr w:type="spellStart"/>
      <w:r w:rsidRPr="00D22EC5">
        <w:rPr>
          <w:rFonts w:ascii="Verdana" w:hAnsi="Verdana"/>
          <w:szCs w:val="18"/>
        </w:rPr>
        <w:t>opleider</w:t>
      </w:r>
      <w:proofErr w:type="spellEnd"/>
      <w:r w:rsidRPr="00D22EC5">
        <w:rPr>
          <w:rFonts w:ascii="Verdana" w:hAnsi="Verdana"/>
          <w:szCs w:val="18"/>
        </w:rPr>
        <w:t xml:space="preserve"> </w:t>
      </w:r>
      <w:proofErr w:type="spellStart"/>
      <w:r w:rsidRPr="00D22EC5">
        <w:rPr>
          <w:rFonts w:ascii="Verdana" w:hAnsi="Verdana"/>
          <w:szCs w:val="18"/>
        </w:rPr>
        <w:t>en</w:t>
      </w:r>
      <w:proofErr w:type="spellEnd"/>
      <w:r w:rsidRPr="00D22EC5">
        <w:rPr>
          <w:rFonts w:ascii="Verdana" w:hAnsi="Verdana"/>
          <w:szCs w:val="18"/>
        </w:rPr>
        <w:t xml:space="preserve"> de AIOS </w:t>
      </w:r>
    </w:p>
    <w:p w:rsid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  <w:r w:rsidRPr="00D22EC5">
        <w:rPr>
          <w:rFonts w:ascii="Verdana" w:hAnsi="Verdana"/>
          <w:szCs w:val="18"/>
        </w:rPr>
        <w:t xml:space="preserve">- Adequate </w:t>
      </w:r>
      <w:proofErr w:type="spellStart"/>
      <w:r w:rsidRPr="00D22EC5">
        <w:rPr>
          <w:rFonts w:ascii="Verdana" w:hAnsi="Verdana"/>
          <w:szCs w:val="18"/>
        </w:rPr>
        <w:t>formulering</w:t>
      </w:r>
      <w:proofErr w:type="spellEnd"/>
      <w:r w:rsidRPr="00D22EC5">
        <w:rPr>
          <w:rFonts w:ascii="Verdana" w:hAnsi="Verdana"/>
          <w:szCs w:val="18"/>
        </w:rPr>
        <w:t xml:space="preserve"> van de </w:t>
      </w:r>
      <w:proofErr w:type="spellStart"/>
      <w:r w:rsidRPr="00D22EC5">
        <w:rPr>
          <w:rFonts w:ascii="Verdana" w:hAnsi="Verdana"/>
          <w:szCs w:val="18"/>
        </w:rPr>
        <w:t>beoordeling</w:t>
      </w:r>
      <w:proofErr w:type="spellEnd"/>
      <w:r w:rsidRPr="00D22EC5">
        <w:rPr>
          <w:rFonts w:ascii="Verdana" w:hAnsi="Verdana"/>
          <w:szCs w:val="18"/>
        </w:rPr>
        <w:t xml:space="preserve"> van </w:t>
      </w:r>
      <w:proofErr w:type="spellStart"/>
      <w:r w:rsidRPr="00D22EC5">
        <w:rPr>
          <w:rFonts w:ascii="Verdana" w:hAnsi="Verdana"/>
          <w:szCs w:val="18"/>
        </w:rPr>
        <w:t>competentieontwikkeling</w:t>
      </w:r>
      <w:proofErr w:type="spellEnd"/>
      <w:r w:rsidRPr="00D22EC5">
        <w:rPr>
          <w:rFonts w:ascii="Verdana" w:hAnsi="Verdana"/>
          <w:szCs w:val="18"/>
        </w:rPr>
        <w:t xml:space="preserve"> van de AIOS </w:t>
      </w:r>
      <w:proofErr w:type="spellStart"/>
      <w:r w:rsidRPr="00D22EC5">
        <w:rPr>
          <w:rFonts w:ascii="Verdana" w:hAnsi="Verdana"/>
          <w:szCs w:val="18"/>
        </w:rPr>
        <w:t>ter</w:t>
      </w:r>
      <w:proofErr w:type="spellEnd"/>
      <w:r w:rsidRPr="00D22EC5">
        <w:rPr>
          <w:rFonts w:ascii="Verdana" w:hAnsi="Verdana"/>
          <w:szCs w:val="18"/>
        </w:rPr>
        <w:t xml:space="preserve"> </w:t>
      </w:r>
      <w:proofErr w:type="spellStart"/>
      <w:r w:rsidRPr="00D22EC5">
        <w:rPr>
          <w:rFonts w:ascii="Verdana" w:hAnsi="Verdana"/>
          <w:szCs w:val="18"/>
        </w:rPr>
        <w:t>ondersteuning</w:t>
      </w:r>
      <w:proofErr w:type="spellEnd"/>
      <w:r w:rsidRPr="00D22EC5">
        <w:rPr>
          <w:rFonts w:ascii="Verdana" w:hAnsi="Verdana"/>
          <w:szCs w:val="18"/>
        </w:rPr>
        <w:t xml:space="preserve"> van de </w:t>
      </w:r>
      <w:proofErr w:type="spellStart"/>
      <w:r w:rsidRPr="00D22EC5">
        <w:rPr>
          <w:rFonts w:ascii="Verdana" w:hAnsi="Verdana"/>
          <w:szCs w:val="18"/>
        </w:rPr>
        <w:t>opleider</w:t>
      </w:r>
      <w:proofErr w:type="spellEnd"/>
      <w:r w:rsidRPr="00D22EC5">
        <w:rPr>
          <w:rFonts w:ascii="Verdana" w:hAnsi="Verdana"/>
          <w:szCs w:val="18"/>
        </w:rPr>
        <w:t xml:space="preserve"> </w:t>
      </w:r>
    </w:p>
    <w:p w:rsid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  <w:r w:rsidRPr="00D22EC5">
        <w:rPr>
          <w:rFonts w:ascii="Verdana" w:hAnsi="Verdana"/>
          <w:szCs w:val="18"/>
        </w:rPr>
        <w:t xml:space="preserve">- </w:t>
      </w:r>
      <w:proofErr w:type="spellStart"/>
      <w:r w:rsidRPr="00D22EC5">
        <w:rPr>
          <w:rFonts w:ascii="Verdana" w:hAnsi="Verdana"/>
          <w:szCs w:val="18"/>
        </w:rPr>
        <w:t>Formuleren</w:t>
      </w:r>
      <w:proofErr w:type="spellEnd"/>
      <w:r w:rsidRPr="00D22EC5">
        <w:rPr>
          <w:rFonts w:ascii="Verdana" w:hAnsi="Verdana"/>
          <w:szCs w:val="18"/>
        </w:rPr>
        <w:t xml:space="preserve"> van </w:t>
      </w:r>
      <w:proofErr w:type="spellStart"/>
      <w:r>
        <w:rPr>
          <w:rFonts w:ascii="Verdana" w:hAnsi="Verdana"/>
          <w:szCs w:val="18"/>
        </w:rPr>
        <w:t>constructieve</w:t>
      </w:r>
      <w:proofErr w:type="spellEnd"/>
      <w:r>
        <w:rPr>
          <w:rFonts w:ascii="Verdana" w:hAnsi="Verdana"/>
          <w:szCs w:val="18"/>
        </w:rPr>
        <w:t xml:space="preserve"> </w:t>
      </w:r>
      <w:proofErr w:type="spellStart"/>
      <w:r>
        <w:rPr>
          <w:rFonts w:ascii="Verdana" w:hAnsi="Verdana"/>
          <w:szCs w:val="18"/>
        </w:rPr>
        <w:t>en</w:t>
      </w:r>
      <w:proofErr w:type="spellEnd"/>
      <w:r>
        <w:rPr>
          <w:rFonts w:ascii="Verdana" w:hAnsi="Verdana"/>
          <w:szCs w:val="18"/>
        </w:rPr>
        <w:t xml:space="preserve"> concrete</w:t>
      </w:r>
      <w:r w:rsidRPr="00D22EC5">
        <w:rPr>
          <w:rFonts w:ascii="Verdana" w:hAnsi="Verdana"/>
          <w:szCs w:val="18"/>
        </w:rPr>
        <w:t xml:space="preserve"> feedback </w:t>
      </w:r>
      <w:proofErr w:type="spellStart"/>
      <w:r w:rsidRPr="00D22EC5">
        <w:rPr>
          <w:rFonts w:ascii="Verdana" w:hAnsi="Verdana"/>
          <w:szCs w:val="18"/>
        </w:rPr>
        <w:t>aan</w:t>
      </w:r>
      <w:proofErr w:type="spellEnd"/>
      <w:r w:rsidRPr="00D22EC5">
        <w:rPr>
          <w:rFonts w:ascii="Verdana" w:hAnsi="Verdana"/>
          <w:szCs w:val="18"/>
        </w:rPr>
        <w:t xml:space="preserve"> AIOS </w:t>
      </w:r>
    </w:p>
    <w:p w:rsidR="00D22EC5" w:rsidRPr="00D22EC5" w:rsidRDefault="00D22EC5" w:rsidP="00A5249C">
      <w:pPr>
        <w:pStyle w:val="Lijstopsommingsteken"/>
        <w:numPr>
          <w:ilvl w:val="0"/>
          <w:numId w:val="0"/>
        </w:numPr>
        <w:ind w:left="432"/>
        <w:rPr>
          <w:rFonts w:ascii="Verdana" w:hAnsi="Verdana"/>
          <w:szCs w:val="18"/>
        </w:rPr>
      </w:pPr>
      <w:r w:rsidRPr="00D22EC5">
        <w:rPr>
          <w:rFonts w:ascii="Verdana" w:hAnsi="Verdana"/>
          <w:szCs w:val="18"/>
        </w:rPr>
        <w:t xml:space="preserve">- </w:t>
      </w:r>
      <w:proofErr w:type="spellStart"/>
      <w:r w:rsidR="007D2267">
        <w:rPr>
          <w:rFonts w:ascii="Verdana" w:hAnsi="Verdana"/>
          <w:szCs w:val="18"/>
        </w:rPr>
        <w:t>Normering</w:t>
      </w:r>
      <w:proofErr w:type="spellEnd"/>
      <w:r w:rsidR="007D2267">
        <w:rPr>
          <w:rFonts w:ascii="Verdana" w:hAnsi="Verdana"/>
          <w:szCs w:val="18"/>
        </w:rPr>
        <w:t xml:space="preserve"> </w:t>
      </w:r>
      <w:proofErr w:type="spellStart"/>
      <w:r w:rsidR="007D2267">
        <w:rPr>
          <w:rFonts w:ascii="Verdana" w:hAnsi="Verdana"/>
          <w:szCs w:val="18"/>
        </w:rPr>
        <w:t>en</w:t>
      </w:r>
      <w:proofErr w:type="spellEnd"/>
      <w:r w:rsidR="007D2267">
        <w:rPr>
          <w:rFonts w:ascii="Verdana" w:hAnsi="Verdana"/>
          <w:szCs w:val="18"/>
        </w:rPr>
        <w:t xml:space="preserve"> </w:t>
      </w:r>
      <w:proofErr w:type="spellStart"/>
      <w:r w:rsidR="007D2267">
        <w:rPr>
          <w:rFonts w:ascii="Verdana" w:hAnsi="Verdana"/>
          <w:szCs w:val="18"/>
        </w:rPr>
        <w:t>beoordelen</w:t>
      </w:r>
      <w:proofErr w:type="spellEnd"/>
      <w:r w:rsidR="007D2267">
        <w:rPr>
          <w:rFonts w:ascii="Verdana" w:hAnsi="Verdana"/>
          <w:szCs w:val="18"/>
        </w:rPr>
        <w:t xml:space="preserve">; hoe </w:t>
      </w:r>
      <w:proofErr w:type="spellStart"/>
      <w:r w:rsidR="007D2267">
        <w:rPr>
          <w:rFonts w:ascii="Verdana" w:hAnsi="Verdana"/>
          <w:szCs w:val="18"/>
        </w:rPr>
        <w:t>kom</w:t>
      </w:r>
      <w:proofErr w:type="spellEnd"/>
      <w:r w:rsidR="007D2267">
        <w:rPr>
          <w:rFonts w:ascii="Verdana" w:hAnsi="Verdana"/>
          <w:szCs w:val="18"/>
        </w:rPr>
        <w:t xml:space="preserve"> je tot </w:t>
      </w:r>
      <w:proofErr w:type="spellStart"/>
      <w:r w:rsidR="007D2267">
        <w:rPr>
          <w:rFonts w:ascii="Verdana" w:hAnsi="Verdana"/>
          <w:szCs w:val="18"/>
        </w:rPr>
        <w:t>een</w:t>
      </w:r>
      <w:proofErr w:type="spellEnd"/>
      <w:r w:rsidR="007D2267">
        <w:rPr>
          <w:rFonts w:ascii="Verdana" w:hAnsi="Verdana"/>
          <w:szCs w:val="18"/>
        </w:rPr>
        <w:t xml:space="preserve"> </w:t>
      </w:r>
      <w:proofErr w:type="spellStart"/>
      <w:r w:rsidR="007D2267">
        <w:rPr>
          <w:rFonts w:ascii="Verdana" w:hAnsi="Verdana"/>
          <w:szCs w:val="18"/>
        </w:rPr>
        <w:t>beoordeling</w:t>
      </w:r>
      <w:proofErr w:type="spellEnd"/>
      <w:r w:rsidR="007D2267">
        <w:rPr>
          <w:rFonts w:ascii="Verdana" w:hAnsi="Verdana"/>
          <w:szCs w:val="18"/>
        </w:rPr>
        <w:t>?</w:t>
      </w:r>
      <w:r w:rsidRPr="00D22EC5">
        <w:rPr>
          <w:rFonts w:ascii="Verdana" w:hAnsi="Verdana"/>
          <w:szCs w:val="18"/>
        </w:rPr>
        <w:t xml:space="preserve">  </w:t>
      </w:r>
    </w:p>
    <w:p w:rsidR="00A5249C" w:rsidRPr="00B5118A" w:rsidRDefault="00A5249C" w:rsidP="00A5249C">
      <w:pPr>
        <w:pStyle w:val="Geenregelafstand"/>
        <w:rPr>
          <w:rFonts w:ascii="Verdana" w:hAnsi="Verdana"/>
          <w:szCs w:val="18"/>
        </w:rPr>
      </w:pPr>
    </w:p>
    <w:tbl>
      <w:tblPr>
        <w:tblStyle w:val="Offertetabel"/>
        <w:tblW w:w="5394" w:type="pct"/>
        <w:tblLook w:val="04A0" w:firstRow="1" w:lastRow="0" w:firstColumn="1" w:lastColumn="0" w:noHBand="0" w:noVBand="1"/>
        <w:tblDescription w:val="Project timeline"/>
      </w:tblPr>
      <w:tblGrid>
        <w:gridCol w:w="2196"/>
        <w:gridCol w:w="919"/>
        <w:gridCol w:w="6661"/>
      </w:tblGrid>
      <w:tr w:rsidR="00DE3F54" w:rsidRPr="00D22EC5" w:rsidTr="00DE3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Onderdeel</w:t>
            </w:r>
          </w:p>
        </w:tc>
        <w:tc>
          <w:tcPr>
            <w:tcW w:w="470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szCs w:val="18"/>
              </w:rPr>
              <w:t>Duur</w:t>
            </w:r>
            <w:proofErr w:type="spellEnd"/>
          </w:p>
        </w:tc>
        <w:tc>
          <w:tcPr>
            <w:tcW w:w="3407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szCs w:val="18"/>
              </w:rPr>
              <w:t>Beschrijving</w:t>
            </w:r>
            <w:proofErr w:type="spellEnd"/>
          </w:p>
        </w:tc>
      </w:tr>
      <w:tr w:rsidR="00DE3F54" w:rsidRPr="00D22EC5" w:rsidTr="00DE3F54"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  <w:lang w:val="nl-NL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Welkom en kennismaking</w:t>
            </w:r>
          </w:p>
        </w:tc>
        <w:tc>
          <w:tcPr>
            <w:tcW w:w="470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>‘15</w:t>
            </w:r>
          </w:p>
        </w:tc>
        <w:tc>
          <w:tcPr>
            <w:tcW w:w="3407" w:type="pct"/>
          </w:tcPr>
          <w:p w:rsidR="00DE3F54" w:rsidRPr="00D22EC5" w:rsidRDefault="00DE3F54" w:rsidP="00DE3F54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 xml:space="preserve">Concrete </w:t>
            </w:r>
            <w:proofErr w:type="spellStart"/>
            <w:r w:rsidRPr="00D22EC5">
              <w:rPr>
                <w:rFonts w:ascii="Verdana" w:hAnsi="Verdana"/>
                <w:szCs w:val="18"/>
              </w:rPr>
              <w:t>leerdoelen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formuleren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(</w:t>
            </w:r>
            <w:proofErr w:type="spellStart"/>
            <w:r w:rsidRPr="00D22EC5">
              <w:rPr>
                <w:rFonts w:ascii="Verdana" w:hAnsi="Verdana"/>
                <w:szCs w:val="18"/>
              </w:rPr>
              <w:t>huiswerk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), </w:t>
            </w:r>
            <w:proofErr w:type="spellStart"/>
            <w:r w:rsidRPr="00D22EC5">
              <w:rPr>
                <w:rFonts w:ascii="Verdana" w:hAnsi="Verdana"/>
                <w:szCs w:val="18"/>
              </w:rPr>
              <w:t>inventariseren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van </w:t>
            </w:r>
            <w:proofErr w:type="spellStart"/>
            <w:r w:rsidRPr="00D22EC5">
              <w:rPr>
                <w:rFonts w:ascii="Verdana" w:hAnsi="Verdana"/>
                <w:szCs w:val="18"/>
              </w:rPr>
              <w:t>casuïstiek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(</w:t>
            </w:r>
            <w:proofErr w:type="spellStart"/>
            <w:r w:rsidRPr="00D22EC5">
              <w:rPr>
                <w:rFonts w:ascii="Verdana" w:hAnsi="Verdana"/>
                <w:szCs w:val="18"/>
              </w:rPr>
              <w:t>huiswerk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). </w:t>
            </w:r>
            <w:proofErr w:type="spellStart"/>
            <w:r w:rsidRPr="00D22EC5">
              <w:rPr>
                <w:rFonts w:ascii="Verdana" w:hAnsi="Verdana"/>
                <w:szCs w:val="18"/>
              </w:rPr>
              <w:t>Veilig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leerklimaat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organiseren</w:t>
            </w:r>
            <w:proofErr w:type="spellEnd"/>
          </w:p>
        </w:tc>
      </w:tr>
      <w:tr w:rsidR="00DE3F54" w:rsidRPr="00D22EC5" w:rsidTr="00DE3F54"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Theorie en technieken</w:t>
            </w:r>
          </w:p>
        </w:tc>
        <w:tc>
          <w:tcPr>
            <w:tcW w:w="470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>‘</w:t>
            </w:r>
            <w:r w:rsidR="00C91EE0">
              <w:rPr>
                <w:rFonts w:ascii="Verdana" w:hAnsi="Verdana"/>
                <w:szCs w:val="18"/>
              </w:rPr>
              <w:t>60</w:t>
            </w:r>
          </w:p>
        </w:tc>
        <w:tc>
          <w:tcPr>
            <w:tcW w:w="3407" w:type="pct"/>
          </w:tcPr>
          <w:p w:rsidR="00C91EE0" w:rsidRPr="007D2267" w:rsidRDefault="007D2267" w:rsidP="00A13023">
            <w:p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Achtergrond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theorie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):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Waar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hebben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we het over? </w:t>
            </w:r>
            <w:r w:rsidRPr="007D2267">
              <w:rPr>
                <w:rFonts w:ascii="Verdana" w:hAnsi="Verdana"/>
                <w:color w:val="auto"/>
                <w:szCs w:val="18"/>
              </w:rPr>
              <w:br/>
              <w:t xml:space="preserve">-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Competentieprofiel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opleidingsgroep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; wat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beoordelen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we?</w:t>
            </w:r>
            <w:r>
              <w:rPr>
                <w:rFonts w:ascii="Verdana" w:hAnsi="Verdana"/>
                <w:color w:val="auto"/>
                <w:szCs w:val="18"/>
              </w:rPr>
              <w:br/>
              <w:t xml:space="preserve">  (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Bespreken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Kaderbesluit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verwachtingen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supervisoren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>)</w:t>
            </w:r>
            <w:r w:rsidRPr="007D2267">
              <w:rPr>
                <w:rFonts w:ascii="Verdana" w:hAnsi="Verdana"/>
                <w:color w:val="auto"/>
                <w:szCs w:val="18"/>
              </w:rPr>
              <w:br/>
              <w:t xml:space="preserve">-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Bespreken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verschillen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tussen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toetsen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beoordelen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Opfrissen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kennis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over KPB (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theorie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>)</w:t>
            </w:r>
            <w:r>
              <w:rPr>
                <w:rFonts w:ascii="Verdana" w:hAnsi="Verdana"/>
                <w:color w:val="auto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technieken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oefenen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voor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gericht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observeren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br/>
              <w:t xml:space="preserve">-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formuleren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constructieve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feedback</w:t>
            </w:r>
            <w:r w:rsidR="00C91EE0">
              <w:rPr>
                <w:rFonts w:ascii="Verdana" w:hAnsi="Verdana"/>
                <w:color w:val="auto"/>
                <w:szCs w:val="18"/>
              </w:rPr>
              <w:br/>
            </w:r>
          </w:p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i/>
                <w:szCs w:val="18"/>
              </w:rPr>
              <w:t>Werkvorm</w:t>
            </w:r>
            <w:proofErr w:type="spellEnd"/>
            <w:r w:rsidRPr="00D22EC5">
              <w:rPr>
                <w:rFonts w:ascii="Verdana" w:hAnsi="Verdana"/>
                <w:i/>
                <w:szCs w:val="18"/>
              </w:rPr>
              <w:t>:</w:t>
            </w:r>
            <w:r w:rsidRPr="00D22EC5">
              <w:rPr>
                <w:rFonts w:ascii="Verdana" w:hAnsi="Verdana"/>
                <w:szCs w:val="18"/>
              </w:rPr>
              <w:t xml:space="preserve"> </w:t>
            </w:r>
          </w:p>
          <w:p w:rsidR="00DE3F54" w:rsidRPr="00D22EC5" w:rsidRDefault="00DE3F54" w:rsidP="007D2267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 xml:space="preserve">- Quiz </w:t>
            </w:r>
            <w:r w:rsidR="007D2267">
              <w:rPr>
                <w:rFonts w:ascii="Verdana" w:hAnsi="Verdana"/>
                <w:szCs w:val="18"/>
              </w:rPr>
              <w:t>(</w:t>
            </w:r>
            <w:proofErr w:type="spellStart"/>
            <w:r w:rsidR="007D2267">
              <w:rPr>
                <w:rFonts w:ascii="Verdana" w:hAnsi="Verdana"/>
                <w:szCs w:val="18"/>
              </w:rPr>
              <w:t>plenaire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vragen</w:t>
            </w:r>
            <w:proofErr w:type="spellEnd"/>
            <w:r w:rsidR="007D2267">
              <w:rPr>
                <w:rFonts w:ascii="Verdana" w:hAnsi="Verdana"/>
                <w:szCs w:val="18"/>
              </w:rPr>
              <w:t>)</w:t>
            </w:r>
            <w:r w:rsidR="007D2267">
              <w:rPr>
                <w:rFonts w:ascii="Verdana" w:hAnsi="Verdana"/>
                <w:szCs w:val="18"/>
              </w:rPr>
              <w:br/>
              <w:t xml:space="preserve">- </w:t>
            </w:r>
            <w:proofErr w:type="spellStart"/>
            <w:r w:rsidR="007D2267">
              <w:rPr>
                <w:rFonts w:ascii="Verdana" w:hAnsi="Verdana"/>
                <w:szCs w:val="18"/>
              </w:rPr>
              <w:t>Gericht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observeren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d.m.v.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‘freeze’ </w:t>
            </w:r>
            <w:proofErr w:type="spellStart"/>
            <w:r w:rsidR="007D2267">
              <w:rPr>
                <w:rFonts w:ascii="Verdana" w:hAnsi="Verdana"/>
                <w:szCs w:val="18"/>
              </w:rPr>
              <w:t>opdracht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(</w:t>
            </w:r>
            <w:proofErr w:type="spellStart"/>
            <w:r w:rsidR="007D2267">
              <w:rPr>
                <w:rFonts w:ascii="Verdana" w:hAnsi="Verdana"/>
                <w:szCs w:val="18"/>
              </w:rPr>
              <w:t>één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deelnemer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‘</w:t>
            </w:r>
            <w:proofErr w:type="spellStart"/>
            <w:r w:rsidR="007D2267">
              <w:rPr>
                <w:rFonts w:ascii="Verdana" w:hAnsi="Verdana"/>
                <w:szCs w:val="18"/>
              </w:rPr>
              <w:t>bevriest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’ in </w:t>
            </w:r>
            <w:proofErr w:type="spellStart"/>
            <w:r w:rsidR="007D2267">
              <w:rPr>
                <w:rFonts w:ascii="Verdana" w:hAnsi="Verdana"/>
                <w:szCs w:val="18"/>
              </w:rPr>
              <w:t>zijn</w:t>
            </w:r>
            <w:proofErr w:type="spellEnd"/>
            <w:r w:rsidR="007D2267">
              <w:rPr>
                <w:rFonts w:ascii="Verdana" w:hAnsi="Verdana"/>
                <w:szCs w:val="18"/>
              </w:rPr>
              <w:t>/</w:t>
            </w:r>
            <w:proofErr w:type="spellStart"/>
            <w:r w:rsidR="007D2267">
              <w:rPr>
                <w:rFonts w:ascii="Verdana" w:hAnsi="Verdana"/>
                <w:szCs w:val="18"/>
              </w:rPr>
              <w:t>haar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houding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. </w:t>
            </w:r>
            <w:proofErr w:type="spellStart"/>
            <w:r w:rsidR="007D2267">
              <w:rPr>
                <w:rFonts w:ascii="Verdana" w:hAnsi="Verdana"/>
                <w:szCs w:val="18"/>
              </w:rPr>
              <w:t>Overige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deelnemers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wordt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gevraagd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hem/</w:t>
            </w:r>
            <w:proofErr w:type="spellStart"/>
            <w:r w:rsidR="007D2267">
              <w:rPr>
                <w:rFonts w:ascii="Verdana" w:hAnsi="Verdana"/>
                <w:szCs w:val="18"/>
              </w:rPr>
              <w:t>haar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te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observeren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te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beoordelen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wat </w:t>
            </w:r>
            <w:proofErr w:type="spellStart"/>
            <w:r w:rsidR="007D2267">
              <w:rPr>
                <w:rFonts w:ascii="Verdana" w:hAnsi="Verdana"/>
                <w:szCs w:val="18"/>
              </w:rPr>
              <w:t>zij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zien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. </w:t>
            </w:r>
            <w:proofErr w:type="spellStart"/>
            <w:r w:rsidR="007D2267">
              <w:rPr>
                <w:rFonts w:ascii="Verdana" w:hAnsi="Verdana"/>
                <w:szCs w:val="18"/>
              </w:rPr>
              <w:t>Inventarisatie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op flap. </w:t>
            </w:r>
            <w:proofErr w:type="spellStart"/>
            <w:r w:rsidR="007D2267">
              <w:rPr>
                <w:rFonts w:ascii="Verdana" w:hAnsi="Verdana"/>
                <w:szCs w:val="18"/>
              </w:rPr>
              <w:t>Daarna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vraag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: Wat </w:t>
            </w:r>
            <w:proofErr w:type="spellStart"/>
            <w:r w:rsidR="007D2267">
              <w:rPr>
                <w:rFonts w:ascii="Verdana" w:hAnsi="Verdana"/>
                <w:szCs w:val="18"/>
              </w:rPr>
              <w:t>hiervan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is </w:t>
            </w:r>
            <w:proofErr w:type="spellStart"/>
            <w:r w:rsidR="007D2267">
              <w:rPr>
                <w:rFonts w:ascii="Verdana" w:hAnsi="Verdana"/>
                <w:szCs w:val="18"/>
              </w:rPr>
              <w:t>observatie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, wat is </w:t>
            </w:r>
            <w:proofErr w:type="spellStart"/>
            <w:r w:rsidR="007D2267">
              <w:rPr>
                <w:rFonts w:ascii="Verdana" w:hAnsi="Verdana"/>
                <w:szCs w:val="18"/>
              </w:rPr>
              <w:t>interpretatie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? Wat is het </w:t>
            </w:r>
            <w:proofErr w:type="spellStart"/>
            <w:r w:rsidR="007D2267">
              <w:rPr>
                <w:rFonts w:ascii="Verdana" w:hAnsi="Verdana"/>
                <w:szCs w:val="18"/>
              </w:rPr>
              <w:t>verschil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? </w:t>
            </w:r>
            <w:proofErr w:type="spellStart"/>
            <w:r w:rsidR="007D2267">
              <w:rPr>
                <w:rFonts w:ascii="Verdana" w:hAnsi="Verdana"/>
                <w:szCs w:val="18"/>
              </w:rPr>
              <w:t>Waarmee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kun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je wat je </w:t>
            </w:r>
            <w:proofErr w:type="spellStart"/>
            <w:r w:rsidR="007D2267">
              <w:rPr>
                <w:rFonts w:ascii="Verdana" w:hAnsi="Verdana"/>
                <w:szCs w:val="18"/>
              </w:rPr>
              <w:t>geobserveerd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hebt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ook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interpreteren</w:t>
            </w:r>
            <w:proofErr w:type="spellEnd"/>
            <w:r w:rsidR="007D2267">
              <w:rPr>
                <w:rFonts w:ascii="Verdana" w:hAnsi="Verdana"/>
                <w:szCs w:val="18"/>
              </w:rPr>
              <w:t>?)</w:t>
            </w:r>
            <w:r w:rsidR="007D2267">
              <w:rPr>
                <w:rFonts w:ascii="Verdana" w:hAnsi="Verdana"/>
                <w:szCs w:val="18"/>
              </w:rPr>
              <w:br/>
              <w:t xml:space="preserve">- Video </w:t>
            </w:r>
            <w:proofErr w:type="spellStart"/>
            <w:r w:rsidR="007D2267">
              <w:rPr>
                <w:rFonts w:ascii="Verdana" w:hAnsi="Verdana"/>
                <w:szCs w:val="18"/>
              </w:rPr>
              <w:t>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rollenspel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r w:rsidR="007D2267" w:rsidRPr="007D2267">
              <w:rPr>
                <w:rFonts w:ascii="Verdana" w:hAnsi="Verdana"/>
                <w:szCs w:val="18"/>
              </w:rPr>
              <w:sym w:font="Wingdings" w:char="F0E0"/>
            </w:r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beoordeling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02004B">
              <w:rPr>
                <w:rFonts w:ascii="Verdana" w:hAnsi="Verdana"/>
                <w:szCs w:val="18"/>
              </w:rPr>
              <w:t>oefenen</w:t>
            </w:r>
            <w:proofErr w:type="spellEnd"/>
            <w:r w:rsidR="0002004B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02004B">
              <w:rPr>
                <w:rFonts w:ascii="Verdana" w:hAnsi="Verdana"/>
                <w:szCs w:val="18"/>
              </w:rPr>
              <w:t>middels</w:t>
            </w:r>
            <w:proofErr w:type="spellEnd"/>
            <w:r w:rsidR="0002004B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02004B">
              <w:rPr>
                <w:rFonts w:ascii="Verdana" w:hAnsi="Verdana"/>
                <w:szCs w:val="18"/>
              </w:rPr>
              <w:t>rollenspel</w:t>
            </w:r>
            <w:proofErr w:type="spellEnd"/>
            <w:r w:rsidR="0002004B">
              <w:rPr>
                <w:rFonts w:ascii="Verdana" w:hAnsi="Verdana"/>
                <w:szCs w:val="18"/>
              </w:rPr>
              <w:t xml:space="preserve">. </w:t>
            </w:r>
            <w:proofErr w:type="spellStart"/>
            <w:r w:rsidR="0002004B">
              <w:rPr>
                <w:rFonts w:ascii="Verdana" w:hAnsi="Verdana"/>
                <w:szCs w:val="18"/>
              </w:rPr>
              <w:t>Eerst</w:t>
            </w:r>
            <w:proofErr w:type="spellEnd"/>
            <w:r w:rsidR="0002004B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individueel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en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02004B">
              <w:rPr>
                <w:rFonts w:ascii="Verdana" w:hAnsi="Verdana"/>
                <w:szCs w:val="18"/>
              </w:rPr>
              <w:t>daarna</w:t>
            </w:r>
            <w:proofErr w:type="spellEnd"/>
            <w:r w:rsidR="0002004B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7D2267">
              <w:rPr>
                <w:rFonts w:ascii="Verdana" w:hAnsi="Verdana"/>
                <w:szCs w:val="18"/>
              </w:rPr>
              <w:t>namens</w:t>
            </w:r>
            <w:proofErr w:type="spellEnd"/>
            <w:r w:rsidR="007D2267">
              <w:rPr>
                <w:rFonts w:ascii="Verdana" w:hAnsi="Verdana"/>
                <w:szCs w:val="18"/>
              </w:rPr>
              <w:t xml:space="preserve"> </w:t>
            </w:r>
            <w:r w:rsidR="0002004B">
              <w:rPr>
                <w:rFonts w:ascii="Verdana" w:hAnsi="Verdana"/>
                <w:szCs w:val="18"/>
              </w:rPr>
              <w:t>(</w:t>
            </w:r>
            <w:proofErr w:type="spellStart"/>
            <w:r w:rsidR="0002004B">
              <w:rPr>
                <w:rFonts w:ascii="Verdana" w:hAnsi="Verdana"/>
                <w:szCs w:val="18"/>
              </w:rPr>
              <w:t>opleidings</w:t>
            </w:r>
            <w:proofErr w:type="spellEnd"/>
            <w:r w:rsidR="0002004B">
              <w:rPr>
                <w:rFonts w:ascii="Verdana" w:hAnsi="Verdana"/>
                <w:szCs w:val="18"/>
              </w:rPr>
              <w:t>-)</w:t>
            </w:r>
            <w:proofErr w:type="spellStart"/>
            <w:r w:rsidR="007D2267">
              <w:rPr>
                <w:rFonts w:ascii="Verdana" w:hAnsi="Verdana"/>
                <w:szCs w:val="18"/>
              </w:rPr>
              <w:t>groep</w:t>
            </w:r>
            <w:proofErr w:type="spellEnd"/>
            <w:r w:rsidRPr="00D22EC5">
              <w:rPr>
                <w:rFonts w:ascii="Verdana" w:hAnsi="Verdana"/>
                <w:szCs w:val="18"/>
              </w:rPr>
              <w:br/>
              <w:t xml:space="preserve">- </w:t>
            </w:r>
            <w:proofErr w:type="spellStart"/>
            <w:r w:rsidRPr="00D22EC5">
              <w:rPr>
                <w:rFonts w:ascii="Verdana" w:hAnsi="Verdana"/>
                <w:szCs w:val="18"/>
              </w:rPr>
              <w:t>Presentatie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in ppt</w:t>
            </w:r>
          </w:p>
        </w:tc>
      </w:tr>
      <w:tr w:rsidR="00C91EE0" w:rsidRPr="00D22EC5" w:rsidTr="00DE3F54">
        <w:tc>
          <w:tcPr>
            <w:tcW w:w="1123" w:type="pct"/>
          </w:tcPr>
          <w:p w:rsidR="00C91EE0" w:rsidRPr="00D22EC5" w:rsidRDefault="00C91EE0" w:rsidP="00A13023">
            <w:pPr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lastRenderedPageBreak/>
              <w:t>Beoordelen in de praktijk</w:t>
            </w:r>
          </w:p>
        </w:tc>
        <w:tc>
          <w:tcPr>
            <w:tcW w:w="470" w:type="pct"/>
          </w:tcPr>
          <w:p w:rsidR="00C91EE0" w:rsidRPr="00D22EC5" w:rsidRDefault="00C91EE0" w:rsidP="00A13023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‘30</w:t>
            </w:r>
          </w:p>
        </w:tc>
        <w:tc>
          <w:tcPr>
            <w:tcW w:w="3407" w:type="pct"/>
          </w:tcPr>
          <w:p w:rsidR="00C91EE0" w:rsidRDefault="005D1B15" w:rsidP="00A13023">
            <w:pPr>
              <w:rPr>
                <w:rFonts w:ascii="Verdana" w:hAnsi="Verdana"/>
                <w:color w:val="auto"/>
                <w:szCs w:val="18"/>
              </w:rPr>
            </w:pPr>
            <w:r>
              <w:rPr>
                <w:rFonts w:ascii="Verdana" w:hAnsi="Verdana"/>
                <w:color w:val="auto"/>
                <w:szCs w:val="18"/>
              </w:rPr>
              <w:t xml:space="preserve">Hoe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beoordeel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je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geobserveerde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functioneren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aios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?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hoe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bespreek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je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je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bevindingen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met de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opleidingsgroep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? In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dit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onderdeel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</w:t>
            </w:r>
            <w:r w:rsidR="00C91EE0">
              <w:rPr>
                <w:rFonts w:ascii="Verdana" w:hAnsi="Verdana"/>
                <w:color w:val="auto"/>
                <w:szCs w:val="18"/>
              </w:rPr>
              <w:t>efenen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Cs w:val="18"/>
              </w:rPr>
              <w:t xml:space="preserve">we </w:t>
            </w:r>
            <w:r w:rsidR="00C91EE0">
              <w:rPr>
                <w:rFonts w:ascii="Verdana" w:hAnsi="Verdana"/>
                <w:color w:val="auto"/>
                <w:szCs w:val="18"/>
              </w:rPr>
              <w:t xml:space="preserve">met het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opstellen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een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referentiekader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als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operationalisatie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het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normeren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geobserveerd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C91EE0">
              <w:rPr>
                <w:rFonts w:ascii="Verdana" w:hAnsi="Verdana"/>
                <w:color w:val="auto"/>
                <w:szCs w:val="18"/>
              </w:rPr>
              <w:t>functioneren</w:t>
            </w:r>
            <w:proofErr w:type="spellEnd"/>
            <w:r w:rsidR="00C91EE0">
              <w:rPr>
                <w:rFonts w:ascii="Verdana" w:hAnsi="Verdana"/>
                <w:color w:val="auto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Eveneens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oefening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gericht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observeren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formuleren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constructieve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feedback.</w:t>
            </w:r>
          </w:p>
          <w:p w:rsidR="00C91EE0" w:rsidRPr="00D22EC5" w:rsidRDefault="005D1B15" w:rsidP="00A13023">
            <w:p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 xml:space="preserve"> </w:t>
            </w:r>
            <w:proofErr w:type="spellStart"/>
            <w:r w:rsidR="00C91EE0" w:rsidRPr="00C91EE0">
              <w:rPr>
                <w:rFonts w:ascii="Verdana" w:hAnsi="Verdana"/>
                <w:i/>
                <w:szCs w:val="18"/>
              </w:rPr>
              <w:t>Werkvorm</w:t>
            </w:r>
            <w:proofErr w:type="spellEnd"/>
            <w:r w:rsidR="00C91EE0" w:rsidRPr="00C91EE0">
              <w:rPr>
                <w:rFonts w:ascii="Verdana" w:hAnsi="Verdana"/>
                <w:i/>
                <w:szCs w:val="18"/>
              </w:rPr>
              <w:t>:</w:t>
            </w:r>
            <w:r w:rsidR="00C91EE0">
              <w:rPr>
                <w:rFonts w:ascii="Verdana" w:hAnsi="Verdana"/>
                <w:szCs w:val="18"/>
              </w:rPr>
              <w:br/>
              <w:t xml:space="preserve">- 2 </w:t>
            </w:r>
            <w:proofErr w:type="spellStart"/>
            <w:r w:rsidR="00C91EE0">
              <w:rPr>
                <w:rFonts w:ascii="Verdana" w:hAnsi="Verdana"/>
                <w:szCs w:val="18"/>
              </w:rPr>
              <w:t>Referentiekaders</w:t>
            </w:r>
            <w:proofErr w:type="spellEnd"/>
            <w:r w:rsidR="00C91EE0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C91EE0">
              <w:rPr>
                <w:rFonts w:ascii="Verdana" w:hAnsi="Verdana"/>
                <w:szCs w:val="18"/>
              </w:rPr>
              <w:t>opstellen</w:t>
            </w:r>
            <w:proofErr w:type="spellEnd"/>
            <w:r w:rsidR="00C91EE0">
              <w:rPr>
                <w:rFonts w:ascii="Verdana" w:hAnsi="Verdana"/>
                <w:szCs w:val="18"/>
              </w:rPr>
              <w:t xml:space="preserve"> in </w:t>
            </w:r>
            <w:proofErr w:type="spellStart"/>
            <w:r w:rsidR="00C91EE0">
              <w:rPr>
                <w:rFonts w:ascii="Verdana" w:hAnsi="Verdana"/>
                <w:szCs w:val="18"/>
              </w:rPr>
              <w:t>subgroepen</w:t>
            </w:r>
            <w:proofErr w:type="spellEnd"/>
            <w:r w:rsidR="00C91EE0">
              <w:rPr>
                <w:rFonts w:ascii="Verdana" w:hAnsi="Verdana"/>
                <w:szCs w:val="18"/>
              </w:rPr>
              <w:t xml:space="preserve">. </w:t>
            </w:r>
            <w:proofErr w:type="spellStart"/>
            <w:r w:rsidR="00C91EE0">
              <w:rPr>
                <w:rFonts w:ascii="Verdana" w:hAnsi="Verdana"/>
                <w:szCs w:val="18"/>
              </w:rPr>
              <w:t>Groep</w:t>
            </w:r>
            <w:proofErr w:type="spellEnd"/>
            <w:r w:rsidR="00C91EE0">
              <w:rPr>
                <w:rFonts w:ascii="Verdana" w:hAnsi="Verdana"/>
                <w:szCs w:val="18"/>
              </w:rPr>
              <w:t xml:space="preserve"> 1: </w:t>
            </w:r>
            <w:proofErr w:type="spellStart"/>
            <w:r w:rsidR="00C91EE0">
              <w:rPr>
                <w:rFonts w:ascii="Verdana" w:hAnsi="Verdana"/>
                <w:szCs w:val="18"/>
              </w:rPr>
              <w:t>Beoordelen</w:t>
            </w:r>
            <w:proofErr w:type="spellEnd"/>
            <w:r w:rsidR="00C91EE0">
              <w:rPr>
                <w:rFonts w:ascii="Verdana" w:hAnsi="Verdana"/>
                <w:szCs w:val="18"/>
              </w:rPr>
              <w:t xml:space="preserve"> van </w:t>
            </w:r>
            <w:proofErr w:type="spellStart"/>
            <w:r w:rsidR="008911C8">
              <w:rPr>
                <w:rFonts w:ascii="Verdana" w:hAnsi="Verdana"/>
                <w:szCs w:val="18"/>
              </w:rPr>
              <w:t>patientperspectief</w:t>
            </w:r>
            <w:proofErr w:type="spellEnd"/>
            <w:r w:rsidR="008911C8">
              <w:rPr>
                <w:rFonts w:ascii="Verdana" w:hAnsi="Verdana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Cs w:val="18"/>
              </w:rPr>
              <w:t>Groep</w:t>
            </w:r>
            <w:proofErr w:type="spellEnd"/>
            <w:r>
              <w:rPr>
                <w:rFonts w:ascii="Verdana" w:hAnsi="Verdana"/>
                <w:szCs w:val="18"/>
              </w:rPr>
              <w:t xml:space="preserve"> 2</w:t>
            </w:r>
            <w:r w:rsidR="008911C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8911C8">
              <w:rPr>
                <w:rFonts w:ascii="Verdana" w:hAnsi="Verdana"/>
                <w:szCs w:val="18"/>
              </w:rPr>
              <w:t>adequaat</w:t>
            </w:r>
            <w:proofErr w:type="spellEnd"/>
            <w:r w:rsidR="008911C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8911C8">
              <w:rPr>
                <w:rFonts w:ascii="Verdana" w:hAnsi="Verdana"/>
                <w:szCs w:val="18"/>
              </w:rPr>
              <w:t>lichamelijk</w:t>
            </w:r>
            <w:proofErr w:type="spellEnd"/>
            <w:r w:rsidR="008911C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8911C8">
              <w:rPr>
                <w:rFonts w:ascii="Verdana" w:hAnsi="Verdana"/>
                <w:szCs w:val="18"/>
              </w:rPr>
              <w:t>onderzoek</w:t>
            </w:r>
            <w:proofErr w:type="spellEnd"/>
            <w:r w:rsidR="008911C8">
              <w:rPr>
                <w:rFonts w:ascii="Verdana" w:hAnsi="Verdana"/>
                <w:szCs w:val="18"/>
              </w:rPr>
              <w:t>.</w:t>
            </w:r>
          </w:p>
        </w:tc>
      </w:tr>
      <w:tr w:rsidR="00DE3F54" w:rsidRPr="00D22EC5" w:rsidTr="00DE3F54"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  <w:lang w:val="nl-NL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Pauze</w:t>
            </w:r>
          </w:p>
        </w:tc>
        <w:tc>
          <w:tcPr>
            <w:tcW w:w="470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>‘30</w:t>
            </w:r>
          </w:p>
        </w:tc>
        <w:tc>
          <w:tcPr>
            <w:tcW w:w="3407" w:type="pct"/>
          </w:tcPr>
          <w:p w:rsidR="00DE3F54" w:rsidRPr="00D22EC5" w:rsidRDefault="00D22EC5" w:rsidP="00A13023">
            <w:pPr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szCs w:val="18"/>
              </w:rPr>
              <w:t>B</w:t>
            </w:r>
            <w:r w:rsidR="00DE3F54" w:rsidRPr="00D22EC5">
              <w:rPr>
                <w:rFonts w:ascii="Verdana" w:hAnsi="Verdana"/>
                <w:szCs w:val="18"/>
              </w:rPr>
              <w:t>roodjes</w:t>
            </w:r>
            <w:proofErr w:type="spellEnd"/>
          </w:p>
        </w:tc>
      </w:tr>
      <w:tr w:rsidR="00DE3F54" w:rsidRPr="00D22EC5" w:rsidTr="00DE3F54"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  <w:lang w:val="nl-NL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Praktijksimulatie</w:t>
            </w:r>
          </w:p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</w:p>
        </w:tc>
        <w:tc>
          <w:tcPr>
            <w:tcW w:w="470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>‘120</w:t>
            </w:r>
          </w:p>
        </w:tc>
        <w:tc>
          <w:tcPr>
            <w:tcW w:w="3407" w:type="pct"/>
          </w:tcPr>
          <w:p w:rsidR="00C91EE0" w:rsidRDefault="00C91EE0" w:rsidP="00C91EE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Oefenen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met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startgesprek</w:t>
            </w:r>
            <w:proofErr w:type="spellEnd"/>
          </w:p>
          <w:p w:rsidR="00C91EE0" w:rsidRDefault="00C91EE0" w:rsidP="00C91EE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Oefenen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met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voortgangsgesprek</w:t>
            </w:r>
            <w:proofErr w:type="spellEnd"/>
          </w:p>
          <w:p w:rsidR="00C91EE0" w:rsidRDefault="00C91EE0" w:rsidP="00C91EE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Opleidingsvergadering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ter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voorbereiding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op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beoordelingsgesprek</w:t>
            </w:r>
            <w:proofErr w:type="spellEnd"/>
          </w:p>
          <w:p w:rsidR="00DE3F54" w:rsidRPr="00C91EE0" w:rsidRDefault="00102670" w:rsidP="00C91EE0">
            <w:pPr>
              <w:rPr>
                <w:rFonts w:ascii="Verdana" w:hAnsi="Verdana"/>
                <w:color w:val="auto"/>
                <w:szCs w:val="18"/>
              </w:rPr>
            </w:pPr>
            <w:proofErr w:type="spellStart"/>
            <w:r w:rsidRPr="00102670">
              <w:rPr>
                <w:rFonts w:ascii="Verdana" w:hAnsi="Verdana"/>
                <w:i/>
                <w:color w:val="auto"/>
                <w:szCs w:val="18"/>
              </w:rPr>
              <w:t>Werkwijze</w:t>
            </w:r>
            <w:proofErr w:type="spellEnd"/>
            <w:r w:rsidRPr="00102670">
              <w:rPr>
                <w:rFonts w:ascii="Verdana" w:hAnsi="Verdana"/>
                <w:i/>
                <w:color w:val="auto"/>
                <w:szCs w:val="18"/>
              </w:rPr>
              <w:t>:</w:t>
            </w:r>
            <w:r>
              <w:rPr>
                <w:rFonts w:ascii="Verdana" w:hAnsi="Verdana"/>
                <w:color w:val="auto"/>
                <w:szCs w:val="18"/>
              </w:rPr>
              <w:br/>
            </w:r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In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plenaire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rondes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worden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door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deelnemers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meegebrachte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cas</w:t>
            </w:r>
            <w:bookmarkStart w:id="0" w:name="_GoBack"/>
            <w:bookmarkEnd w:id="0"/>
            <w:r w:rsidR="00DE3F54" w:rsidRPr="00C91EE0">
              <w:rPr>
                <w:rFonts w:ascii="Verdana" w:hAnsi="Verdana"/>
                <w:color w:val="auto"/>
                <w:szCs w:val="18"/>
              </w:rPr>
              <w:t>uistiek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r w:rsidR="00C91EE0">
              <w:rPr>
                <w:rFonts w:ascii="Verdana" w:hAnsi="Verdana"/>
                <w:color w:val="auto"/>
                <w:szCs w:val="18"/>
              </w:rPr>
              <w:t xml:space="preserve">(KPB’s)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besproken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door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middel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van ‘clinics’: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Een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praktijksimulatie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dat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de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groep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in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staat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stelt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het dilemma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scherp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te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diagnosticeren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,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vervolgens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te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experimerenteren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met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interventies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,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waarbij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diverse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invalshoeken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worden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="00DE3F54" w:rsidRPr="00C91EE0">
              <w:rPr>
                <w:rFonts w:ascii="Verdana" w:hAnsi="Verdana"/>
                <w:color w:val="auto"/>
                <w:szCs w:val="18"/>
              </w:rPr>
              <w:t>belicht</w:t>
            </w:r>
            <w:proofErr w:type="spellEnd"/>
            <w:r w:rsidR="00DE3F54" w:rsidRPr="00C91EE0">
              <w:rPr>
                <w:rFonts w:ascii="Verdana" w:hAnsi="Verdana"/>
                <w:color w:val="auto"/>
                <w:szCs w:val="18"/>
              </w:rPr>
              <w:t xml:space="preserve">. </w:t>
            </w:r>
          </w:p>
          <w:p w:rsidR="00DE3F54" w:rsidRDefault="00DE3F54" w:rsidP="00A13023">
            <w:pPr>
              <w:rPr>
                <w:rFonts w:ascii="Verdana" w:hAnsi="Verdana"/>
                <w:color w:val="auto"/>
                <w:szCs w:val="18"/>
              </w:rPr>
            </w:pPr>
            <w:r w:rsidRPr="007D2267">
              <w:rPr>
                <w:rFonts w:ascii="Verdana" w:hAnsi="Verdana"/>
                <w:color w:val="auto"/>
                <w:szCs w:val="18"/>
              </w:rPr>
              <w:t xml:space="preserve">Het is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dus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géén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klassiek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rollenspel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; in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deze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vorm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worden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de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belangrijkste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inzichten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samengevat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vertaald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naar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bruikbare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tips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voor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alle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deelnemers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. De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deelnemers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krijgen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van de trainer,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alsmede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van de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andere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deelnemers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maatwerk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feedback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tips. De trainer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biedt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aanvullende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verdiepende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 w:rsidRPr="007D2267">
              <w:rPr>
                <w:rFonts w:ascii="Verdana" w:hAnsi="Verdana"/>
                <w:color w:val="auto"/>
                <w:szCs w:val="18"/>
              </w:rPr>
              <w:t>technieken</w:t>
            </w:r>
            <w:proofErr w:type="spellEnd"/>
            <w:r w:rsidRPr="007D2267">
              <w:rPr>
                <w:rFonts w:ascii="Verdana" w:hAnsi="Verdana"/>
                <w:color w:val="auto"/>
                <w:szCs w:val="18"/>
              </w:rPr>
              <w:t xml:space="preserve">. </w:t>
            </w:r>
          </w:p>
          <w:p w:rsidR="00102670" w:rsidRDefault="00102670" w:rsidP="00102670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Plenaire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inventarisatie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op flap</w:t>
            </w:r>
          </w:p>
          <w:p w:rsidR="008911C8" w:rsidRPr="008911C8" w:rsidRDefault="008911C8" w:rsidP="008911C8">
            <w:pPr>
              <w:rPr>
                <w:rFonts w:ascii="Verdana" w:hAnsi="Verdana"/>
                <w:color w:val="auto"/>
                <w:szCs w:val="18"/>
              </w:rPr>
            </w:pPr>
            <w:proofErr w:type="spellStart"/>
            <w:r>
              <w:rPr>
                <w:rFonts w:ascii="Verdana" w:hAnsi="Verdana"/>
                <w:color w:val="auto"/>
                <w:szCs w:val="18"/>
              </w:rPr>
              <w:t>Afsluiten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met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belang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opstellen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criteria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normen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voor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het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beoordelen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van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aios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Cs w:val="18"/>
              </w:rPr>
              <w:t>en</w:t>
            </w:r>
            <w:proofErr w:type="spellEnd"/>
            <w:r>
              <w:rPr>
                <w:rFonts w:ascii="Verdana" w:hAnsi="Verdana"/>
                <w:color w:val="auto"/>
                <w:szCs w:val="18"/>
              </w:rPr>
              <w:t xml:space="preserve"> de link met EPA’s.</w:t>
            </w:r>
          </w:p>
        </w:tc>
      </w:tr>
      <w:tr w:rsidR="00DE3F54" w:rsidRPr="00D22EC5" w:rsidTr="00DE3F54">
        <w:tc>
          <w:tcPr>
            <w:tcW w:w="1123" w:type="pct"/>
          </w:tcPr>
          <w:p w:rsidR="00DE3F54" w:rsidRPr="00D22EC5" w:rsidRDefault="00DE3F54" w:rsidP="00A13023">
            <w:pPr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  <w:lang w:val="nl-NL"/>
              </w:rPr>
              <w:t>Afronding</w:t>
            </w:r>
          </w:p>
        </w:tc>
        <w:tc>
          <w:tcPr>
            <w:tcW w:w="470" w:type="pct"/>
          </w:tcPr>
          <w:p w:rsidR="00DE3F54" w:rsidRPr="00D22EC5" w:rsidRDefault="00DE3F54" w:rsidP="00DE3F54">
            <w:pPr>
              <w:spacing w:after="120" w:line="240" w:lineRule="auto"/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>‘</w:t>
            </w:r>
            <w:r w:rsidR="00102670">
              <w:rPr>
                <w:rFonts w:ascii="Verdana" w:hAnsi="Verdana"/>
                <w:szCs w:val="18"/>
              </w:rPr>
              <w:t>15</w:t>
            </w:r>
          </w:p>
        </w:tc>
        <w:tc>
          <w:tcPr>
            <w:tcW w:w="3407" w:type="pct"/>
          </w:tcPr>
          <w:p w:rsidR="00DE3F54" w:rsidRPr="00D22EC5" w:rsidRDefault="00DE3F54" w:rsidP="00A5249C">
            <w:pPr>
              <w:pStyle w:val="Lijstalinea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szCs w:val="18"/>
              </w:rPr>
              <w:t>Samenvatting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van de </w:t>
            </w:r>
            <w:proofErr w:type="spellStart"/>
            <w:r w:rsidRPr="00D22EC5">
              <w:rPr>
                <w:rFonts w:ascii="Verdana" w:hAnsi="Verdana"/>
                <w:szCs w:val="18"/>
              </w:rPr>
              <w:t>belangrijkste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leerervaringen</w:t>
            </w:r>
            <w:proofErr w:type="spellEnd"/>
            <w:r w:rsidRPr="00D22EC5">
              <w:rPr>
                <w:rFonts w:ascii="Verdana" w:hAnsi="Verdana"/>
                <w:szCs w:val="18"/>
              </w:rPr>
              <w:t>.</w:t>
            </w:r>
          </w:p>
          <w:p w:rsidR="00DE3F54" w:rsidRPr="00D22EC5" w:rsidRDefault="00DE3F54" w:rsidP="00A5249C">
            <w:pPr>
              <w:pStyle w:val="Lijstalinea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Cs w:val="18"/>
              </w:rPr>
            </w:pPr>
            <w:proofErr w:type="spellStart"/>
            <w:r w:rsidRPr="00D22EC5">
              <w:rPr>
                <w:rFonts w:ascii="Verdana" w:hAnsi="Verdana"/>
                <w:szCs w:val="18"/>
              </w:rPr>
              <w:t>Evaluatie</w:t>
            </w:r>
            <w:proofErr w:type="spellEnd"/>
            <w:r w:rsidRPr="00D22EC5">
              <w:rPr>
                <w:rFonts w:ascii="Verdana" w:hAnsi="Verdana"/>
                <w:szCs w:val="18"/>
              </w:rPr>
              <w:t>.</w:t>
            </w:r>
          </w:p>
          <w:p w:rsidR="00DE3F54" w:rsidRPr="00D22EC5" w:rsidRDefault="00DE3F54" w:rsidP="00A5249C">
            <w:pPr>
              <w:pStyle w:val="Lijstalinea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 xml:space="preserve">Tips </w:t>
            </w:r>
            <w:proofErr w:type="spellStart"/>
            <w:r w:rsidRPr="00D22EC5">
              <w:rPr>
                <w:rFonts w:ascii="Verdana" w:hAnsi="Verdana"/>
                <w:szCs w:val="18"/>
              </w:rPr>
              <w:t>voor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vervolg</w:t>
            </w:r>
            <w:proofErr w:type="spellEnd"/>
          </w:p>
          <w:p w:rsidR="00DE3F54" w:rsidRPr="00D22EC5" w:rsidRDefault="00DE3F54" w:rsidP="00A13023">
            <w:pPr>
              <w:pStyle w:val="Lijstalinea"/>
              <w:ind w:left="360"/>
              <w:rPr>
                <w:rFonts w:ascii="Verdana" w:hAnsi="Verdana"/>
                <w:szCs w:val="18"/>
              </w:rPr>
            </w:pPr>
            <w:r w:rsidRPr="00D22EC5">
              <w:rPr>
                <w:rFonts w:ascii="Verdana" w:hAnsi="Verdana"/>
                <w:szCs w:val="18"/>
              </w:rPr>
              <w:t xml:space="preserve">Om de </w:t>
            </w:r>
            <w:proofErr w:type="spellStart"/>
            <w:r w:rsidRPr="00D22EC5">
              <w:rPr>
                <w:rFonts w:ascii="Verdana" w:hAnsi="Verdana"/>
                <w:szCs w:val="18"/>
              </w:rPr>
              <w:t>deelnemer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te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ondersteunen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bij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het </w:t>
            </w:r>
            <w:proofErr w:type="spellStart"/>
            <w:r w:rsidRPr="00D22EC5">
              <w:rPr>
                <w:rFonts w:ascii="Verdana" w:hAnsi="Verdana"/>
                <w:szCs w:val="18"/>
              </w:rPr>
              <w:t>toepassen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van de </w:t>
            </w:r>
            <w:proofErr w:type="spellStart"/>
            <w:r w:rsidRPr="00D22EC5">
              <w:rPr>
                <w:rFonts w:ascii="Verdana" w:hAnsi="Verdana"/>
                <w:szCs w:val="18"/>
              </w:rPr>
              <w:t>inzichten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in de eigen </w:t>
            </w:r>
            <w:proofErr w:type="spellStart"/>
            <w:r w:rsidRPr="00D22EC5">
              <w:rPr>
                <w:rFonts w:ascii="Verdana" w:hAnsi="Verdana"/>
                <w:szCs w:val="18"/>
              </w:rPr>
              <w:t>praktijk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sluiten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we </w:t>
            </w:r>
            <w:proofErr w:type="spellStart"/>
            <w:r w:rsidRPr="00D22EC5">
              <w:rPr>
                <w:rFonts w:ascii="Verdana" w:hAnsi="Verdana"/>
                <w:szCs w:val="18"/>
              </w:rPr>
              <w:t>af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met het </w:t>
            </w:r>
            <w:proofErr w:type="spellStart"/>
            <w:r w:rsidRPr="00D22EC5">
              <w:rPr>
                <w:rFonts w:ascii="Verdana" w:hAnsi="Verdana"/>
                <w:szCs w:val="18"/>
              </w:rPr>
              <w:t>maken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van </w:t>
            </w:r>
            <w:proofErr w:type="spellStart"/>
            <w:r w:rsidRPr="00D22EC5">
              <w:rPr>
                <w:rFonts w:ascii="Verdana" w:hAnsi="Verdana"/>
                <w:szCs w:val="18"/>
              </w:rPr>
              <w:t>een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vervolgafspraak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met </w:t>
            </w:r>
            <w:proofErr w:type="spellStart"/>
            <w:r w:rsidRPr="00D22EC5">
              <w:rPr>
                <w:rFonts w:ascii="Verdana" w:hAnsi="Verdana"/>
                <w:szCs w:val="18"/>
              </w:rPr>
              <w:t>een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‘buddy’, </w:t>
            </w:r>
            <w:proofErr w:type="spellStart"/>
            <w:r w:rsidRPr="00D22EC5">
              <w:rPr>
                <w:rFonts w:ascii="Verdana" w:hAnsi="Verdana"/>
                <w:szCs w:val="18"/>
              </w:rPr>
              <w:t>waarmee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deelnemers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met </w:t>
            </w:r>
            <w:proofErr w:type="spellStart"/>
            <w:r w:rsidRPr="00D22EC5">
              <w:rPr>
                <w:rFonts w:ascii="Verdana" w:hAnsi="Verdana"/>
                <w:szCs w:val="18"/>
              </w:rPr>
              <w:t>een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tussenpoos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van </w:t>
            </w:r>
            <w:proofErr w:type="spellStart"/>
            <w:r w:rsidRPr="00D22EC5">
              <w:rPr>
                <w:rFonts w:ascii="Verdana" w:hAnsi="Verdana"/>
                <w:szCs w:val="18"/>
              </w:rPr>
              <w:t>bij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voorkeur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6 </w:t>
            </w:r>
            <w:proofErr w:type="spellStart"/>
            <w:r w:rsidRPr="00D22EC5">
              <w:rPr>
                <w:rFonts w:ascii="Verdana" w:hAnsi="Verdana"/>
                <w:szCs w:val="18"/>
              </w:rPr>
              <w:t>weken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een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vervolgafspraak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plant  met </w:t>
            </w:r>
            <w:proofErr w:type="spellStart"/>
            <w:r w:rsidRPr="00D22EC5">
              <w:rPr>
                <w:rFonts w:ascii="Verdana" w:hAnsi="Verdana"/>
                <w:szCs w:val="18"/>
              </w:rPr>
              <w:t>elkaar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om </w:t>
            </w:r>
            <w:proofErr w:type="spellStart"/>
            <w:r w:rsidRPr="00D22EC5">
              <w:rPr>
                <w:rFonts w:ascii="Verdana" w:hAnsi="Verdana"/>
                <w:szCs w:val="18"/>
              </w:rPr>
              <w:t>ervaringen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te</w:t>
            </w:r>
            <w:proofErr w:type="spellEnd"/>
            <w:r w:rsidRPr="00D22EC5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D22EC5">
              <w:rPr>
                <w:rFonts w:ascii="Verdana" w:hAnsi="Verdana"/>
                <w:szCs w:val="18"/>
              </w:rPr>
              <w:t>bespreken</w:t>
            </w:r>
            <w:proofErr w:type="spellEnd"/>
            <w:r w:rsidRPr="00D22EC5">
              <w:rPr>
                <w:rFonts w:ascii="Verdana" w:hAnsi="Verdana"/>
                <w:szCs w:val="18"/>
              </w:rPr>
              <w:t>.</w:t>
            </w:r>
          </w:p>
        </w:tc>
      </w:tr>
    </w:tbl>
    <w:p w:rsidR="00A5249C" w:rsidRPr="00347852" w:rsidRDefault="00A5249C" w:rsidP="00A5249C">
      <w:pPr>
        <w:pStyle w:val="kop2"/>
        <w:rPr>
          <w:rFonts w:ascii="Verdana" w:hAnsi="Verdana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br/>
      </w:r>
    </w:p>
    <w:p w:rsidR="00A5249C" w:rsidRDefault="00A5249C"/>
    <w:sectPr w:rsidR="00A5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48090E"/>
    <w:multiLevelType w:val="hybridMultilevel"/>
    <w:tmpl w:val="3B06BF5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jstopsommingstek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F0959"/>
    <w:multiLevelType w:val="hybridMultilevel"/>
    <w:tmpl w:val="37541F24"/>
    <w:lvl w:ilvl="0" w:tplc="7ADA5B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9C"/>
    <w:rsid w:val="0002004B"/>
    <w:rsid w:val="00102670"/>
    <w:rsid w:val="00257DF8"/>
    <w:rsid w:val="005D1B15"/>
    <w:rsid w:val="007D2267"/>
    <w:rsid w:val="008911C8"/>
    <w:rsid w:val="00A5249C"/>
    <w:rsid w:val="00BC2BEF"/>
    <w:rsid w:val="00C91EE0"/>
    <w:rsid w:val="00D22EC5"/>
    <w:rsid w:val="00D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3E9B"/>
  <w15:chartTrackingRefBased/>
  <w15:docId w15:val="{4166DF45-DD1C-4DD3-B33D-41067E4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249C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rsid w:val="00A5249C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customStyle="1" w:styleId="kop2">
    <w:name w:val="kop 2"/>
    <w:basedOn w:val="Standaard"/>
    <w:next w:val="Standaard"/>
    <w:link w:val="Tekenkop2"/>
    <w:uiPriority w:val="9"/>
    <w:unhideWhenUsed/>
    <w:qFormat/>
    <w:rsid w:val="00A5249C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customStyle="1" w:styleId="Tekenkop1">
    <w:name w:val="Teken kop 1"/>
    <w:basedOn w:val="Standaardalinea-lettertype"/>
    <w:link w:val="kop1"/>
    <w:uiPriority w:val="9"/>
    <w:rsid w:val="00A5249C"/>
    <w:rPr>
      <w:b/>
      <w:bCs/>
      <w:caps/>
      <w:color w:val="1F4E79" w:themeColor="accent1" w:themeShade="80"/>
      <w:sz w:val="28"/>
      <w:szCs w:val="20"/>
      <w:lang w:val="en-US" w:eastAsia="ja-JP"/>
    </w:rPr>
  </w:style>
  <w:style w:type="paragraph" w:customStyle="1" w:styleId="Geenregelafstand">
    <w:name w:val="Geen regelafstand"/>
    <w:uiPriority w:val="36"/>
    <w:qFormat/>
    <w:rsid w:val="00A5249C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customStyle="1" w:styleId="Tekenkop2">
    <w:name w:val="Teken kop 2"/>
    <w:basedOn w:val="Standaardalinea-lettertype"/>
    <w:link w:val="kop2"/>
    <w:uiPriority w:val="9"/>
    <w:rsid w:val="00A5249C"/>
    <w:rPr>
      <w:b/>
      <w:bCs/>
      <w:color w:val="5B9BD5" w:themeColor="accent1"/>
      <w:sz w:val="24"/>
      <w:szCs w:val="20"/>
      <w:lang w:val="en-US" w:eastAsia="ja-JP"/>
    </w:rPr>
  </w:style>
  <w:style w:type="paragraph" w:customStyle="1" w:styleId="Lijstopsommingsteken">
    <w:name w:val="Lijstopsommingsteken"/>
    <w:basedOn w:val="Standaard"/>
    <w:uiPriority w:val="1"/>
    <w:unhideWhenUsed/>
    <w:qFormat/>
    <w:rsid w:val="00A5249C"/>
    <w:pPr>
      <w:numPr>
        <w:numId w:val="1"/>
      </w:numPr>
      <w:spacing w:after="60"/>
    </w:pPr>
  </w:style>
  <w:style w:type="table" w:customStyle="1" w:styleId="Offertetabel">
    <w:name w:val="Offertetabel"/>
    <w:basedOn w:val="Standaardtabel"/>
    <w:uiPriority w:val="99"/>
    <w:rsid w:val="00A5249C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Lijstalinea">
    <w:name w:val="List Paragraph"/>
    <w:basedOn w:val="Standaard"/>
    <w:uiPriority w:val="34"/>
    <w:unhideWhenUsed/>
    <w:qFormat/>
    <w:rsid w:val="00A5249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5249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elChar">
    <w:name w:val="Titel Char"/>
    <w:basedOn w:val="Standaardalinea-lettertype"/>
    <w:link w:val="Titel"/>
    <w:uiPriority w:val="10"/>
    <w:rsid w:val="00A5249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n-US" w:eastAsia="ja-JP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249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249C"/>
    <w:rPr>
      <w:b/>
      <w:bCs/>
      <w:color w:val="5B9BD5" w:themeColor="accent1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C5B24108E4C0C9E99A51485B71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A29EB7-D4DC-48A6-8B83-0AA8FE391CD3}"/>
      </w:docPartPr>
      <w:docPartBody>
        <w:p w:rsidR="00665AF7" w:rsidRDefault="00783A12" w:rsidP="00783A12">
          <w:pPr>
            <w:pStyle w:val="E30C5B24108E4C0C9E99A51485B71BAE"/>
          </w:pPr>
          <w:r>
            <w:t>&lt;Uw bedrijf&gt;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12"/>
    <w:rsid w:val="00665AF7"/>
    <w:rsid w:val="00783A12"/>
    <w:rsid w:val="008309CE"/>
    <w:rsid w:val="009228F1"/>
    <w:rsid w:val="00EB6EC1"/>
    <w:rsid w:val="00E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742E44342AB4021A0DC9C061420F0B1">
    <w:name w:val="E742E44342AB4021A0DC9C061420F0B1"/>
    <w:rsid w:val="00783A12"/>
  </w:style>
  <w:style w:type="paragraph" w:customStyle="1" w:styleId="E30C5B24108E4C0C9E99A51485B71BAE">
    <w:name w:val="E30C5B24108E4C0C9E99A51485B71BAE"/>
    <w:rsid w:val="0078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Ttt WORKSHOP ‘toetsen en beoordelen’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Elswijk</dc:creator>
  <cp:keywords/>
  <dc:description/>
  <cp:lastModifiedBy>Lisette van Elswijk</cp:lastModifiedBy>
  <cp:revision>2</cp:revision>
  <dcterms:created xsi:type="dcterms:W3CDTF">2018-11-05T21:31:00Z</dcterms:created>
  <dcterms:modified xsi:type="dcterms:W3CDTF">2018-11-05T21:31:00Z</dcterms:modified>
</cp:coreProperties>
</file>